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F2D9D" w14:textId="1EC3CDBF" w:rsidR="00D21369" w:rsidRPr="00DF4B12" w:rsidRDefault="00D21369" w:rsidP="00EA4EF3">
      <w:pPr>
        <w:jc w:val="center"/>
        <w:rPr>
          <w:rFonts w:asciiTheme="minorHAnsi" w:hAnsiTheme="minorHAnsi"/>
          <w:b/>
          <w:bCs/>
        </w:rPr>
      </w:pPr>
      <w:r w:rsidRPr="00DF4B12">
        <w:rPr>
          <w:rFonts w:asciiTheme="minorHAnsi" w:hAnsiTheme="minorHAnsi"/>
          <w:b/>
          <w:bCs/>
          <w:szCs w:val="24"/>
        </w:rPr>
        <w:t>International Bentonite Longevity (IBL) project: a</w:t>
      </w:r>
      <w:r w:rsidR="00EC3D70" w:rsidRPr="00DF4B12">
        <w:rPr>
          <w:rFonts w:asciiTheme="minorHAnsi" w:hAnsiTheme="minorHAnsi"/>
          <w:b/>
          <w:bCs/>
          <w:szCs w:val="24"/>
        </w:rPr>
        <w:t xml:space="preserve"> brief </w:t>
      </w:r>
      <w:r w:rsidRPr="00DF4B12">
        <w:rPr>
          <w:rFonts w:asciiTheme="minorHAnsi" w:hAnsiTheme="minorHAnsi"/>
          <w:b/>
          <w:bCs/>
          <w:szCs w:val="24"/>
        </w:rPr>
        <w:t>introduction</w:t>
      </w:r>
      <w:r w:rsidRPr="00DF4B12">
        <w:rPr>
          <w:rFonts w:asciiTheme="minorHAnsi" w:hAnsiTheme="minorHAnsi"/>
          <w:b/>
          <w:bCs/>
          <w:szCs w:val="24"/>
          <w:lang w:eastAsia="ja-JP"/>
        </w:rPr>
        <w:t xml:space="preserve"> (</w:t>
      </w:r>
      <w:r w:rsidRPr="00DF4B12">
        <w:rPr>
          <w:rFonts w:asciiTheme="minorHAnsi" w:hAnsiTheme="minorHAnsi"/>
          <w:b/>
          <w:bCs/>
          <w:szCs w:val="24"/>
        </w:rPr>
        <w:t>description of the Tsukinuno bentonite mine</w:t>
      </w:r>
      <w:r w:rsidRPr="00DF4B12">
        <w:rPr>
          <w:rFonts w:asciiTheme="minorHAnsi" w:hAnsiTheme="minorHAnsi"/>
          <w:b/>
          <w:bCs/>
          <w:szCs w:val="24"/>
          <w:lang w:eastAsia="ja-JP"/>
        </w:rPr>
        <w:t>)</w:t>
      </w:r>
    </w:p>
    <w:p w14:paraId="4105807B" w14:textId="77777777" w:rsidR="00D21369" w:rsidRPr="00DF4B12" w:rsidRDefault="00D21369" w:rsidP="00EA4EF3">
      <w:pPr>
        <w:jc w:val="center"/>
        <w:rPr>
          <w:rFonts w:asciiTheme="minorHAnsi" w:hAnsiTheme="minorHAnsi"/>
        </w:rPr>
      </w:pPr>
    </w:p>
    <w:p w14:paraId="0B1EBB1D" w14:textId="6F4DAEF1" w:rsidR="00D21369" w:rsidRPr="00DF4B12" w:rsidRDefault="00D21369" w:rsidP="00EA4EF3">
      <w:pPr>
        <w:jc w:val="center"/>
        <w:rPr>
          <w:rFonts w:asciiTheme="minorHAnsi" w:hAnsiTheme="minorHAnsi"/>
          <w:i/>
          <w:iCs/>
          <w:sz w:val="20"/>
          <w:szCs w:val="18"/>
        </w:rPr>
      </w:pPr>
      <w:r w:rsidRPr="00DF4B12">
        <w:rPr>
          <w:rFonts w:asciiTheme="minorHAnsi" w:hAnsiTheme="minorHAnsi"/>
          <w:i/>
          <w:iCs/>
          <w:sz w:val="20"/>
          <w:szCs w:val="18"/>
        </w:rPr>
        <w:t>W.R</w:t>
      </w:r>
      <w:r w:rsidR="000C0234" w:rsidRPr="00DF4B12">
        <w:rPr>
          <w:rFonts w:asciiTheme="minorHAnsi" w:hAnsiTheme="minorHAnsi"/>
          <w:i/>
          <w:iCs/>
          <w:sz w:val="20"/>
          <w:szCs w:val="18"/>
        </w:rPr>
        <w:t xml:space="preserve">. </w:t>
      </w:r>
      <w:r w:rsidRPr="00DF4B12">
        <w:rPr>
          <w:rFonts w:asciiTheme="minorHAnsi" w:hAnsiTheme="minorHAnsi"/>
          <w:i/>
          <w:iCs/>
          <w:sz w:val="20"/>
          <w:szCs w:val="18"/>
        </w:rPr>
        <w:t>Alexander</w:t>
      </w:r>
      <w:r w:rsidRPr="00DF4B12">
        <w:rPr>
          <w:rFonts w:asciiTheme="minorHAnsi" w:hAnsiTheme="minorHAnsi"/>
          <w:i/>
          <w:iCs/>
          <w:sz w:val="20"/>
          <w:szCs w:val="18"/>
          <w:vertAlign w:val="superscript"/>
        </w:rPr>
        <w:t>1</w:t>
      </w:r>
      <w:r w:rsidRPr="00DF4B12">
        <w:rPr>
          <w:rFonts w:asciiTheme="minorHAnsi" w:hAnsiTheme="minorHAnsi"/>
          <w:i/>
          <w:iCs/>
          <w:sz w:val="20"/>
          <w:szCs w:val="18"/>
        </w:rPr>
        <w:t>, M.</w:t>
      </w:r>
      <w:r w:rsidR="00FB6D98" w:rsidRPr="00DF4B12">
        <w:rPr>
          <w:rFonts w:asciiTheme="minorHAnsi" w:hAnsiTheme="minorHAnsi"/>
          <w:i/>
          <w:iCs/>
          <w:sz w:val="20"/>
          <w:szCs w:val="18"/>
        </w:rPr>
        <w:t xml:space="preserve"> </w:t>
      </w:r>
      <w:r w:rsidRPr="00DF4B12">
        <w:rPr>
          <w:rFonts w:asciiTheme="minorHAnsi" w:hAnsiTheme="minorHAnsi"/>
          <w:i/>
          <w:iCs/>
          <w:sz w:val="20"/>
          <w:szCs w:val="18"/>
        </w:rPr>
        <w:t>Ito</w:t>
      </w:r>
      <w:r w:rsidRPr="00DF4B12">
        <w:rPr>
          <w:rFonts w:asciiTheme="minorHAnsi" w:hAnsiTheme="minorHAnsi"/>
          <w:i/>
          <w:iCs/>
          <w:sz w:val="20"/>
          <w:szCs w:val="18"/>
          <w:vertAlign w:val="superscript"/>
        </w:rPr>
        <w:t>2</w:t>
      </w:r>
      <w:r w:rsidRPr="00DF4B12">
        <w:rPr>
          <w:rFonts w:asciiTheme="minorHAnsi" w:hAnsiTheme="minorHAnsi"/>
          <w:i/>
          <w:iCs/>
          <w:sz w:val="20"/>
          <w:szCs w:val="18"/>
        </w:rPr>
        <w:t xml:space="preserve"> </w:t>
      </w:r>
      <w:r w:rsidR="00B0583A" w:rsidRPr="00DF4B12">
        <w:rPr>
          <w:rFonts w:asciiTheme="minorHAnsi" w:hAnsiTheme="minorHAnsi"/>
          <w:i/>
          <w:iCs/>
          <w:sz w:val="20"/>
          <w:szCs w:val="18"/>
        </w:rPr>
        <w:t xml:space="preserve">&amp; </w:t>
      </w:r>
      <w:r w:rsidRPr="00DF4B12">
        <w:rPr>
          <w:rFonts w:asciiTheme="minorHAnsi" w:hAnsiTheme="minorHAnsi"/>
          <w:i/>
          <w:iCs/>
          <w:sz w:val="20"/>
          <w:szCs w:val="18"/>
        </w:rPr>
        <w:t>H.M.</w:t>
      </w:r>
      <w:r w:rsidR="00FB6D98" w:rsidRPr="00DF4B12">
        <w:rPr>
          <w:rFonts w:asciiTheme="minorHAnsi" w:hAnsiTheme="minorHAnsi"/>
          <w:i/>
          <w:iCs/>
          <w:sz w:val="20"/>
          <w:szCs w:val="18"/>
        </w:rPr>
        <w:t xml:space="preserve"> </w:t>
      </w:r>
      <w:r w:rsidRPr="00DF4B12">
        <w:rPr>
          <w:rFonts w:asciiTheme="minorHAnsi" w:hAnsiTheme="minorHAnsi"/>
          <w:i/>
          <w:iCs/>
          <w:sz w:val="20"/>
          <w:szCs w:val="18"/>
        </w:rPr>
        <w:t>Reijonen</w:t>
      </w:r>
      <w:r w:rsidRPr="00DF4B12">
        <w:rPr>
          <w:rFonts w:asciiTheme="minorHAnsi" w:hAnsiTheme="minorHAnsi"/>
          <w:i/>
          <w:iCs/>
          <w:sz w:val="20"/>
          <w:szCs w:val="18"/>
          <w:vertAlign w:val="superscript"/>
        </w:rPr>
        <w:t>3</w:t>
      </w:r>
      <w:r w:rsidRPr="00DF4B12">
        <w:rPr>
          <w:rFonts w:asciiTheme="minorHAnsi" w:hAnsiTheme="minorHAnsi"/>
          <w:i/>
          <w:iCs/>
          <w:sz w:val="20"/>
          <w:szCs w:val="18"/>
        </w:rPr>
        <w:t xml:space="preserve"> </w:t>
      </w:r>
    </w:p>
    <w:p w14:paraId="34FD0580" w14:textId="77777777" w:rsidR="00D21369" w:rsidRPr="00DF4B12" w:rsidRDefault="00D21369" w:rsidP="00EA4EF3">
      <w:pPr>
        <w:jc w:val="center"/>
        <w:rPr>
          <w:rFonts w:asciiTheme="minorHAnsi" w:hAnsiTheme="minorHAnsi"/>
          <w:i/>
          <w:iCs/>
          <w:sz w:val="20"/>
          <w:szCs w:val="18"/>
        </w:rPr>
      </w:pPr>
    </w:p>
    <w:p w14:paraId="69C8E1A7" w14:textId="178FE400" w:rsidR="00D21369" w:rsidRPr="00DF4B12" w:rsidRDefault="00D21369" w:rsidP="00EA4EF3">
      <w:pPr>
        <w:jc w:val="center"/>
        <w:rPr>
          <w:rFonts w:asciiTheme="minorHAnsi" w:hAnsiTheme="minorHAnsi"/>
          <w:i/>
          <w:iCs/>
          <w:sz w:val="20"/>
          <w:szCs w:val="18"/>
        </w:rPr>
      </w:pPr>
      <w:r w:rsidRPr="00DF4B12">
        <w:rPr>
          <w:rFonts w:asciiTheme="minorHAnsi" w:hAnsiTheme="minorHAnsi"/>
          <w:i/>
          <w:iCs/>
          <w:sz w:val="20"/>
          <w:szCs w:val="18"/>
          <w:vertAlign w:val="superscript"/>
        </w:rPr>
        <w:t>1</w:t>
      </w:r>
      <w:r w:rsidRPr="00DF4B12">
        <w:rPr>
          <w:rFonts w:asciiTheme="minorHAnsi" w:hAnsiTheme="minorHAnsi"/>
          <w:i/>
          <w:iCs/>
          <w:sz w:val="20"/>
          <w:szCs w:val="18"/>
        </w:rPr>
        <w:t xml:space="preserve">Bedrock </w:t>
      </w:r>
      <w:r w:rsidR="00EA4EF3" w:rsidRPr="00DF4B12">
        <w:rPr>
          <w:rFonts w:asciiTheme="minorHAnsi" w:hAnsiTheme="minorHAnsi"/>
          <w:i/>
          <w:iCs/>
          <w:sz w:val="20"/>
          <w:szCs w:val="18"/>
        </w:rPr>
        <w:t>G</w:t>
      </w:r>
      <w:r w:rsidRPr="00DF4B12">
        <w:rPr>
          <w:rFonts w:asciiTheme="minorHAnsi" w:hAnsiTheme="minorHAnsi"/>
          <w:i/>
          <w:iCs/>
          <w:sz w:val="20"/>
          <w:szCs w:val="18"/>
        </w:rPr>
        <w:t>eosciences, Auenstein, Switzerland</w:t>
      </w:r>
    </w:p>
    <w:p w14:paraId="5A85C1EC" w14:textId="77777777" w:rsidR="00D21369" w:rsidRPr="00DF4B12" w:rsidRDefault="00D21369" w:rsidP="00EA4EF3">
      <w:pPr>
        <w:jc w:val="center"/>
        <w:rPr>
          <w:rFonts w:asciiTheme="minorHAnsi" w:hAnsiTheme="minorHAnsi"/>
          <w:i/>
          <w:iCs/>
          <w:sz w:val="20"/>
          <w:szCs w:val="18"/>
        </w:rPr>
      </w:pPr>
      <w:r w:rsidRPr="00DF4B12">
        <w:rPr>
          <w:rFonts w:asciiTheme="minorHAnsi" w:hAnsiTheme="minorHAnsi"/>
          <w:i/>
          <w:iCs/>
          <w:sz w:val="20"/>
          <w:szCs w:val="18"/>
          <w:vertAlign w:val="superscript"/>
        </w:rPr>
        <w:t>2</w:t>
      </w:r>
      <w:r w:rsidRPr="00DF4B12">
        <w:rPr>
          <w:rFonts w:asciiTheme="minorHAnsi" w:hAnsiTheme="minorHAnsi"/>
          <w:i/>
          <w:iCs/>
          <w:sz w:val="20"/>
          <w:szCs w:val="18"/>
        </w:rPr>
        <w:t>Kunimine Industries Company (KIC), Tokyo, Japan</w:t>
      </w:r>
    </w:p>
    <w:p w14:paraId="586D570B" w14:textId="200C6BCA" w:rsidR="00D21369" w:rsidRPr="00DF4B12" w:rsidRDefault="00D21369" w:rsidP="00EA4EF3">
      <w:pPr>
        <w:jc w:val="center"/>
        <w:rPr>
          <w:rFonts w:asciiTheme="minorHAnsi" w:hAnsiTheme="minorHAnsi"/>
          <w:i/>
          <w:iCs/>
          <w:sz w:val="20"/>
          <w:szCs w:val="18"/>
        </w:rPr>
      </w:pPr>
      <w:r w:rsidRPr="00DF4B12">
        <w:rPr>
          <w:rFonts w:asciiTheme="minorHAnsi" w:hAnsiTheme="minorHAnsi"/>
          <w:i/>
          <w:iCs/>
          <w:sz w:val="20"/>
          <w:szCs w:val="18"/>
          <w:vertAlign w:val="superscript"/>
        </w:rPr>
        <w:t>3</w:t>
      </w:r>
      <w:r w:rsidRPr="00DF4B12">
        <w:rPr>
          <w:rFonts w:asciiTheme="minorHAnsi" w:hAnsiTheme="minorHAnsi"/>
          <w:i/>
          <w:iCs/>
          <w:sz w:val="20"/>
          <w:szCs w:val="18"/>
        </w:rPr>
        <w:t>G</w:t>
      </w:r>
      <w:r w:rsidR="00990366" w:rsidRPr="00DF4B12">
        <w:rPr>
          <w:rFonts w:asciiTheme="minorHAnsi" w:hAnsiTheme="minorHAnsi"/>
          <w:i/>
          <w:iCs/>
          <w:sz w:val="20"/>
          <w:szCs w:val="18"/>
        </w:rPr>
        <w:t>eological Survey of Finland (GTK)</w:t>
      </w:r>
      <w:r w:rsidRPr="00DF4B12">
        <w:rPr>
          <w:rFonts w:asciiTheme="minorHAnsi" w:hAnsiTheme="minorHAnsi"/>
          <w:i/>
          <w:iCs/>
          <w:sz w:val="20"/>
          <w:szCs w:val="18"/>
        </w:rPr>
        <w:t>, Espoo, Finland</w:t>
      </w:r>
    </w:p>
    <w:p w14:paraId="2ADD21AF" w14:textId="77777777" w:rsidR="00D21369" w:rsidRPr="00DF4B12" w:rsidRDefault="00D21369" w:rsidP="00D21369">
      <w:pPr>
        <w:rPr>
          <w:rFonts w:asciiTheme="minorHAnsi" w:hAnsiTheme="minorHAnsi"/>
        </w:rPr>
      </w:pPr>
    </w:p>
    <w:p w14:paraId="00621151" w14:textId="0D10C703" w:rsidR="00D21369" w:rsidRPr="00DF4B12" w:rsidRDefault="00D21369" w:rsidP="00D21369">
      <w:pPr>
        <w:rPr>
          <w:rFonts w:asciiTheme="minorHAnsi" w:hAnsiTheme="minorHAnsi"/>
          <w:sz w:val="22"/>
          <w:szCs w:val="20"/>
        </w:rPr>
      </w:pPr>
      <w:r w:rsidRPr="00DF4B12">
        <w:rPr>
          <w:rFonts w:asciiTheme="minorHAnsi" w:hAnsiTheme="minorHAnsi"/>
          <w:sz w:val="22"/>
          <w:szCs w:val="20"/>
        </w:rPr>
        <w:t>This abstract describes the preliminary results of a natural analogue (NA) study of the long-term behaviour of various aspects of the industrial bentonites planned for use in repositories for radioactive wastes.  This work has been conducted within the International Bentonite Longevity (IBL) project which includes NWMO (Canada), NUMO (Japan)</w:t>
      </w:r>
      <w:r w:rsidR="006D0BB1" w:rsidRPr="00DF4B12">
        <w:rPr>
          <w:rFonts w:asciiTheme="minorHAnsi" w:hAnsiTheme="minorHAnsi"/>
          <w:sz w:val="22"/>
          <w:szCs w:val="20"/>
        </w:rPr>
        <w:t xml:space="preserve">, </w:t>
      </w:r>
      <w:r w:rsidRPr="00DF4B12">
        <w:rPr>
          <w:rFonts w:asciiTheme="minorHAnsi" w:hAnsiTheme="minorHAnsi"/>
          <w:sz w:val="22"/>
          <w:szCs w:val="20"/>
        </w:rPr>
        <w:t xml:space="preserve">GTK (Finland) </w:t>
      </w:r>
      <w:r w:rsidR="006D0BB1" w:rsidRPr="00DF4B12">
        <w:rPr>
          <w:rFonts w:asciiTheme="minorHAnsi" w:hAnsiTheme="minorHAnsi"/>
          <w:sz w:val="22"/>
          <w:szCs w:val="20"/>
        </w:rPr>
        <w:t xml:space="preserve">and NWS (UK), </w:t>
      </w:r>
      <w:r w:rsidRPr="00DF4B12">
        <w:rPr>
          <w:rFonts w:asciiTheme="minorHAnsi" w:hAnsiTheme="minorHAnsi"/>
          <w:sz w:val="22"/>
          <w:szCs w:val="20"/>
        </w:rPr>
        <w:t>as Project Partners. The work has been carried out in Kunimine Industries Company (KIC)’s Tsukinuno (NW Japan) sub-surface bentonite mine, a source of Miocene age Na-bentonite (at depth in the mine) and Ca-bentonite (near-surface).  The site (Fig</w:t>
      </w:r>
      <w:r w:rsidR="00104DB3" w:rsidRPr="00DF4B12">
        <w:rPr>
          <w:rFonts w:asciiTheme="minorHAnsi" w:hAnsiTheme="minorHAnsi"/>
          <w:sz w:val="22"/>
          <w:szCs w:val="20"/>
        </w:rPr>
        <w:t>.</w:t>
      </w:r>
      <w:r w:rsidRPr="00DF4B12">
        <w:rPr>
          <w:rFonts w:asciiTheme="minorHAnsi" w:hAnsiTheme="minorHAnsi"/>
          <w:sz w:val="22"/>
          <w:szCs w:val="20"/>
        </w:rPr>
        <w:t xml:space="preserve"> 1) is ideal for studying processes of direct relevance to safety cases (SC) for radioactive waste repositories that utilise bentonite as part of their multi-barrier safety systems (i.e. buffer, backfill and tunnel and borehole plugs and seals).  </w:t>
      </w:r>
    </w:p>
    <w:p w14:paraId="4D3F02A1" w14:textId="77777777" w:rsidR="00D21369" w:rsidRPr="00DF4B12" w:rsidRDefault="00D21369" w:rsidP="00D21369">
      <w:pPr>
        <w:rPr>
          <w:rFonts w:asciiTheme="minorHAnsi" w:hAnsiTheme="minorHAnsi"/>
        </w:rPr>
      </w:pPr>
    </w:p>
    <w:p w14:paraId="0554A8CB" w14:textId="77777777" w:rsidR="00D21369" w:rsidRPr="00DF4B12" w:rsidRDefault="00D21369" w:rsidP="00D21369">
      <w:pPr>
        <w:jc w:val="center"/>
        <w:rPr>
          <w:rFonts w:asciiTheme="minorHAnsi" w:hAnsiTheme="minorHAnsi"/>
        </w:rPr>
      </w:pPr>
      <w:r w:rsidRPr="00DF4B12">
        <w:rPr>
          <w:rFonts w:asciiTheme="minorHAnsi" w:hAnsiTheme="minorHAnsi"/>
          <w:noProof/>
        </w:rPr>
        <w:drawing>
          <wp:inline distT="0" distB="0" distL="0" distR="0" wp14:anchorId="79B98A86" wp14:editId="02CA4A61">
            <wp:extent cx="3175635" cy="3039658"/>
            <wp:effectExtent l="0" t="0" r="5715" b="8890"/>
            <wp:docPr id="1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6"/>
                    <a:stretch>
                      <a:fillRect/>
                    </a:stretch>
                  </pic:blipFill>
                  <pic:spPr>
                    <a:xfrm>
                      <a:off x="0" y="0"/>
                      <a:ext cx="3214935" cy="3077275"/>
                    </a:xfrm>
                    <a:prstGeom prst="rect">
                      <a:avLst/>
                    </a:prstGeom>
                  </pic:spPr>
                </pic:pic>
              </a:graphicData>
            </a:graphic>
          </wp:inline>
        </w:drawing>
      </w:r>
    </w:p>
    <w:p w14:paraId="1BDC2E7E" w14:textId="77777777" w:rsidR="00D21369" w:rsidRPr="00DF4B12" w:rsidRDefault="00D21369" w:rsidP="00D21369">
      <w:pPr>
        <w:jc w:val="center"/>
        <w:rPr>
          <w:rFonts w:asciiTheme="minorHAnsi" w:hAnsiTheme="minorHAnsi"/>
        </w:rPr>
      </w:pPr>
    </w:p>
    <w:p w14:paraId="68F05AD5" w14:textId="6927F5D2" w:rsidR="00D21369" w:rsidRPr="00DF4B12" w:rsidRDefault="00D21369" w:rsidP="00D21369">
      <w:pPr>
        <w:jc w:val="center"/>
        <w:rPr>
          <w:rFonts w:asciiTheme="minorHAnsi" w:hAnsiTheme="minorHAnsi"/>
          <w:i/>
          <w:iCs/>
          <w:sz w:val="22"/>
          <w:szCs w:val="20"/>
        </w:rPr>
      </w:pPr>
      <w:r w:rsidRPr="00DF4B12">
        <w:rPr>
          <w:rFonts w:asciiTheme="minorHAnsi" w:hAnsiTheme="minorHAnsi"/>
          <w:i/>
          <w:iCs/>
          <w:sz w:val="22"/>
          <w:szCs w:val="20"/>
        </w:rPr>
        <w:t>Fig</w:t>
      </w:r>
      <w:r w:rsidR="00104DB3" w:rsidRPr="00DF4B12">
        <w:rPr>
          <w:rFonts w:asciiTheme="minorHAnsi" w:hAnsiTheme="minorHAnsi"/>
          <w:i/>
          <w:iCs/>
          <w:sz w:val="22"/>
          <w:szCs w:val="20"/>
        </w:rPr>
        <w:t>. 1.</w:t>
      </w:r>
      <w:r w:rsidRPr="00DF4B12">
        <w:rPr>
          <w:rFonts w:asciiTheme="minorHAnsi" w:hAnsiTheme="minorHAnsi"/>
          <w:i/>
          <w:iCs/>
          <w:sz w:val="22"/>
          <w:szCs w:val="20"/>
        </w:rPr>
        <w:t xml:space="preserve"> Geological map and cross-section of the Ohe region, Yamagata Prefecture, Japan (Yamaji et al., 1986). KIC’s Tsukinuno mine </w:t>
      </w:r>
      <w:proofErr w:type="gramStart"/>
      <w:r w:rsidRPr="00DF4B12">
        <w:rPr>
          <w:rFonts w:asciiTheme="minorHAnsi" w:hAnsiTheme="minorHAnsi"/>
          <w:i/>
          <w:iCs/>
          <w:sz w:val="22"/>
          <w:szCs w:val="20"/>
        </w:rPr>
        <w:t>is located in</w:t>
      </w:r>
      <w:proofErr w:type="gramEnd"/>
      <w:r w:rsidRPr="00DF4B12">
        <w:rPr>
          <w:rFonts w:asciiTheme="minorHAnsi" w:hAnsiTheme="minorHAnsi"/>
          <w:i/>
          <w:iCs/>
          <w:sz w:val="22"/>
          <w:szCs w:val="20"/>
        </w:rPr>
        <w:t xml:space="preserve"> this area.</w:t>
      </w:r>
    </w:p>
    <w:p w14:paraId="67D98D05" w14:textId="77777777" w:rsidR="00D21369" w:rsidRPr="00DF4B12" w:rsidRDefault="00D21369" w:rsidP="00D21369">
      <w:pPr>
        <w:rPr>
          <w:rFonts w:asciiTheme="minorHAnsi" w:hAnsiTheme="minorHAnsi"/>
          <w:sz w:val="22"/>
          <w:szCs w:val="20"/>
        </w:rPr>
      </w:pPr>
    </w:p>
    <w:p w14:paraId="603A0E08" w14:textId="5E2BFD5F" w:rsidR="00666778" w:rsidRPr="00DF4B12" w:rsidRDefault="00666778" w:rsidP="00666778">
      <w:pPr>
        <w:rPr>
          <w:rFonts w:asciiTheme="minorHAnsi" w:hAnsiTheme="minorHAnsi"/>
          <w:sz w:val="22"/>
          <w:szCs w:val="20"/>
        </w:rPr>
      </w:pPr>
      <w:r w:rsidRPr="00DF4B12">
        <w:rPr>
          <w:rFonts w:asciiTheme="minorHAnsi" w:hAnsiTheme="minorHAnsi"/>
          <w:sz w:val="22"/>
          <w:szCs w:val="20"/>
        </w:rPr>
        <w:t>The output from IBL Phase A has provided</w:t>
      </w:r>
      <w:r w:rsidR="004F6A84" w:rsidRPr="00DF4B12">
        <w:rPr>
          <w:rFonts w:asciiTheme="minorHAnsi" w:hAnsiTheme="minorHAnsi"/>
          <w:sz w:val="22"/>
          <w:szCs w:val="20"/>
        </w:rPr>
        <w:t xml:space="preserve"> </w:t>
      </w:r>
      <w:r w:rsidRPr="00DF4B12">
        <w:rPr>
          <w:rFonts w:asciiTheme="minorHAnsi" w:hAnsiTheme="minorHAnsi"/>
          <w:sz w:val="22"/>
          <w:szCs w:val="20"/>
        </w:rPr>
        <w:t xml:space="preserve">evidence of the longevity of bentonite under conditions of relevance to borehole seals.  Further, </w:t>
      </w:r>
      <w:r w:rsidR="00396959" w:rsidRPr="00DF4B12">
        <w:rPr>
          <w:rFonts w:asciiTheme="minorHAnsi" w:hAnsiTheme="minorHAnsi"/>
          <w:sz w:val="22"/>
          <w:szCs w:val="20"/>
        </w:rPr>
        <w:t xml:space="preserve">in Phase B, </w:t>
      </w:r>
      <w:r w:rsidRPr="00DF4B12">
        <w:rPr>
          <w:rFonts w:asciiTheme="minorHAnsi" w:hAnsiTheme="minorHAnsi"/>
          <w:sz w:val="22"/>
          <w:szCs w:val="20"/>
        </w:rPr>
        <w:t xml:space="preserve">it has acted as a proof-of-concept for the direct evaluation of </w:t>
      </w:r>
      <w:r w:rsidR="00396959" w:rsidRPr="00DF4B12">
        <w:rPr>
          <w:rFonts w:asciiTheme="minorHAnsi" w:hAnsiTheme="minorHAnsi"/>
          <w:sz w:val="22"/>
          <w:szCs w:val="20"/>
        </w:rPr>
        <w:t>EBS-relevant</w:t>
      </w:r>
      <w:r w:rsidRPr="00DF4B12">
        <w:rPr>
          <w:rFonts w:asciiTheme="minorHAnsi" w:hAnsiTheme="minorHAnsi"/>
          <w:sz w:val="22"/>
          <w:szCs w:val="20"/>
        </w:rPr>
        <w:t xml:space="preserve"> processes in natural bentonites as NAs of the industrial bentonites likely to be used in future repository programmes.  </w:t>
      </w:r>
    </w:p>
    <w:p w14:paraId="7D18A93A" w14:textId="77777777" w:rsidR="00666778" w:rsidRPr="00DF4B12" w:rsidRDefault="00666778" w:rsidP="00666778">
      <w:pPr>
        <w:rPr>
          <w:rFonts w:asciiTheme="minorHAnsi" w:hAnsiTheme="minorHAnsi"/>
          <w:sz w:val="22"/>
          <w:szCs w:val="20"/>
        </w:rPr>
      </w:pPr>
    </w:p>
    <w:p w14:paraId="7FE77EC8" w14:textId="0DB9CE4D" w:rsidR="00D21369" w:rsidRPr="00DF4B12" w:rsidRDefault="00D21369" w:rsidP="00D21369">
      <w:pPr>
        <w:spacing w:after="160" w:line="259" w:lineRule="auto"/>
        <w:rPr>
          <w:rFonts w:asciiTheme="minorHAnsi" w:hAnsiTheme="minorHAnsi"/>
          <w:b/>
          <w:bCs/>
          <w:sz w:val="22"/>
          <w:szCs w:val="20"/>
        </w:rPr>
      </w:pPr>
      <w:r w:rsidRPr="00DF4B12">
        <w:rPr>
          <w:rFonts w:asciiTheme="minorHAnsi" w:hAnsiTheme="minorHAnsi"/>
          <w:b/>
          <w:bCs/>
          <w:sz w:val="22"/>
          <w:szCs w:val="20"/>
        </w:rPr>
        <w:t>References</w:t>
      </w:r>
    </w:p>
    <w:p w14:paraId="2D4A9A47" w14:textId="336E077A" w:rsidR="0051403E" w:rsidRPr="00DF4B12" w:rsidRDefault="00D21369" w:rsidP="00666778">
      <w:pPr>
        <w:spacing w:after="160" w:line="259" w:lineRule="auto"/>
        <w:rPr>
          <w:rFonts w:asciiTheme="minorHAnsi" w:hAnsiTheme="minorHAnsi"/>
          <w:sz w:val="22"/>
          <w:szCs w:val="20"/>
        </w:rPr>
      </w:pPr>
      <w:r w:rsidRPr="00DF4B12">
        <w:rPr>
          <w:rFonts w:asciiTheme="minorHAnsi" w:hAnsiTheme="minorHAnsi"/>
          <w:sz w:val="22"/>
          <w:szCs w:val="20"/>
        </w:rPr>
        <w:t>Yamaji, A., Amano, K., Otsuki, K. &amp; Ishii T. (1986). Island arc transection route No. 23, in S. Kitamura, ed., Geological data files on Neogene of Northeast Japan Arc, vol. 3, no. 2, 36p., 1986 (</w:t>
      </w:r>
      <w:r w:rsidRPr="00DF4B12">
        <w:rPr>
          <w:rFonts w:asciiTheme="minorHAnsi" w:hAnsiTheme="minorHAnsi"/>
          <w:i/>
          <w:iCs/>
          <w:sz w:val="22"/>
          <w:szCs w:val="20"/>
        </w:rPr>
        <w:t>in Japanese</w:t>
      </w:r>
      <w:r w:rsidRPr="00DF4B12">
        <w:rPr>
          <w:rFonts w:asciiTheme="minorHAnsi" w:hAnsiTheme="minorHAnsi"/>
          <w:sz w:val="22"/>
          <w:szCs w:val="20"/>
        </w:rPr>
        <w:t>).</w:t>
      </w:r>
    </w:p>
    <w:sectPr w:rsidR="0051403E" w:rsidRPr="00DF4B12">
      <w:headerReference w:type="default" r:id="rId7"/>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F0CE9" w14:textId="77777777" w:rsidR="00CC0FF2" w:rsidRDefault="00CC0FF2" w:rsidP="00017D5D">
      <w:r>
        <w:separator/>
      </w:r>
    </w:p>
  </w:endnote>
  <w:endnote w:type="continuationSeparator" w:id="0">
    <w:p w14:paraId="11EA8F84" w14:textId="77777777" w:rsidR="00CC0FF2" w:rsidRDefault="00CC0FF2" w:rsidP="00017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DFCF6" w14:textId="77777777" w:rsidR="00CC0FF2" w:rsidRDefault="00CC0FF2" w:rsidP="00017D5D">
      <w:r>
        <w:separator/>
      </w:r>
    </w:p>
  </w:footnote>
  <w:footnote w:type="continuationSeparator" w:id="0">
    <w:p w14:paraId="7826741A" w14:textId="77777777" w:rsidR="00CC0FF2" w:rsidRDefault="00CC0FF2" w:rsidP="00017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30E9A" w14:textId="311C6A7F" w:rsidR="00017D5D" w:rsidRPr="00353CED" w:rsidRDefault="00017D5D">
    <w:pPr>
      <w:pStyle w:val="Header"/>
      <w:rPr>
        <w:b/>
        <w:bCs/>
        <w:color w:val="4472C4" w:themeColor="accent1"/>
        <w:lang w:val="en-US"/>
      </w:rPr>
    </w:pPr>
    <w:r w:rsidRPr="00353CED">
      <w:rPr>
        <w:b/>
        <w:bCs/>
        <w:color w:val="4472C4" w:themeColor="accent1"/>
        <w:lang w:val="en-US"/>
      </w:rPr>
      <w:t>Abstract template</w:t>
    </w:r>
    <w:r w:rsidR="00353CED">
      <w:rPr>
        <w:b/>
        <w:bCs/>
        <w:color w:val="4472C4" w:themeColor="accent1"/>
        <w:lang w:val="en-US"/>
      </w:rPr>
      <w:t xml:space="preserve"> (maximum </w:t>
    </w:r>
    <w:r w:rsidR="00990366">
      <w:rPr>
        <w:b/>
        <w:bCs/>
        <w:color w:val="4472C4" w:themeColor="accent1"/>
        <w:lang w:val="en-US"/>
      </w:rPr>
      <w:t>length</w:t>
    </w:r>
    <w:r w:rsidR="00353CED">
      <w:rPr>
        <w:b/>
        <w:bCs/>
        <w:color w:val="4472C4" w:themeColor="accent1"/>
        <w:lang w:val="en-US"/>
      </w:rPr>
      <w:t xml:space="preserve"> 1 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369"/>
    <w:rsid w:val="00017D5D"/>
    <w:rsid w:val="00046D30"/>
    <w:rsid w:val="000B037B"/>
    <w:rsid w:val="000C0234"/>
    <w:rsid w:val="00104DB3"/>
    <w:rsid w:val="00353CED"/>
    <w:rsid w:val="00396959"/>
    <w:rsid w:val="003A4396"/>
    <w:rsid w:val="003A6BD4"/>
    <w:rsid w:val="003F2735"/>
    <w:rsid w:val="0044003A"/>
    <w:rsid w:val="004F6A84"/>
    <w:rsid w:val="0051403E"/>
    <w:rsid w:val="005606C0"/>
    <w:rsid w:val="00666778"/>
    <w:rsid w:val="006D0BB1"/>
    <w:rsid w:val="007A1A64"/>
    <w:rsid w:val="00990366"/>
    <w:rsid w:val="009D5060"/>
    <w:rsid w:val="00B0583A"/>
    <w:rsid w:val="00CC0FF2"/>
    <w:rsid w:val="00D21369"/>
    <w:rsid w:val="00DF4B12"/>
    <w:rsid w:val="00E4494D"/>
    <w:rsid w:val="00EA4EF3"/>
    <w:rsid w:val="00EC3410"/>
    <w:rsid w:val="00EC3D70"/>
    <w:rsid w:val="00FB6D98"/>
    <w:rsid w:val="00FD3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F75D"/>
  <w15:chartTrackingRefBased/>
  <w15:docId w15:val="{3C0295F8-7C66-4BCD-A8C9-DA97009D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369"/>
    <w:pPr>
      <w:spacing w:after="0" w:line="240" w:lineRule="auto"/>
      <w:jc w:val="both"/>
    </w:pPr>
    <w:rPr>
      <w:rFonts w:ascii="Times New Roman" w:hAnsi="Times New Roman" w:cstheme="minorHAns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D5D"/>
    <w:pPr>
      <w:tabs>
        <w:tab w:val="center" w:pos="4513"/>
        <w:tab w:val="right" w:pos="9026"/>
      </w:tabs>
    </w:pPr>
  </w:style>
  <w:style w:type="character" w:customStyle="1" w:styleId="HeaderChar">
    <w:name w:val="Header Char"/>
    <w:basedOn w:val="DefaultParagraphFont"/>
    <w:link w:val="Header"/>
    <w:uiPriority w:val="99"/>
    <w:rsid w:val="00017D5D"/>
    <w:rPr>
      <w:rFonts w:ascii="Times New Roman" w:hAnsi="Times New Roman" w:cstheme="minorHAnsi"/>
      <w:sz w:val="24"/>
    </w:rPr>
  </w:style>
  <w:style w:type="paragraph" w:styleId="Footer">
    <w:name w:val="footer"/>
    <w:basedOn w:val="Normal"/>
    <w:link w:val="FooterChar"/>
    <w:uiPriority w:val="99"/>
    <w:unhideWhenUsed/>
    <w:rsid w:val="00017D5D"/>
    <w:pPr>
      <w:tabs>
        <w:tab w:val="center" w:pos="4513"/>
        <w:tab w:val="right" w:pos="9026"/>
      </w:tabs>
    </w:pPr>
  </w:style>
  <w:style w:type="character" w:customStyle="1" w:styleId="FooterChar">
    <w:name w:val="Footer Char"/>
    <w:basedOn w:val="DefaultParagraphFont"/>
    <w:link w:val="Footer"/>
    <w:uiPriority w:val="99"/>
    <w:rsid w:val="00017D5D"/>
    <w:rPr>
      <w:rFonts w:ascii="Times New Roman" w:hAnsi="Times New Roman" w:cstheme="minorHAns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209</Words>
  <Characters>1698</Characters>
  <Application>Microsoft Office Word</Application>
  <DocSecurity>0</DocSecurity>
  <Lines>14</Lines>
  <Paragraphs>3</Paragraphs>
  <ScaleCrop>false</ScaleCrop>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alexander</dc:creator>
  <cp:keywords/>
  <dc:description/>
  <cp:lastModifiedBy>Reijonen Heini (GTK)</cp:lastModifiedBy>
  <cp:revision>19</cp:revision>
  <dcterms:created xsi:type="dcterms:W3CDTF">2025-01-03T14:16:00Z</dcterms:created>
  <dcterms:modified xsi:type="dcterms:W3CDTF">2026-01-10T13:42:00Z</dcterms:modified>
</cp:coreProperties>
</file>